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附件1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662" w:tblpY="1136"/>
        <w:tblOverlap w:val="never"/>
        <w:tblW w:w="10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765"/>
        <w:gridCol w:w="675"/>
        <w:gridCol w:w="675"/>
        <w:gridCol w:w="885"/>
        <w:gridCol w:w="5194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招聘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部门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招聘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岗位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岗位编号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招聘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</w:rPr>
              <w:t>待遇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岗位要求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公司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 xml:space="preserve">     综合行政部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001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18"/>
                <w:szCs w:val="18"/>
              </w:rPr>
              <w:t>3</w:t>
            </w:r>
            <w:r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/>
                <w:color w:val="000000"/>
                <w:sz w:val="18"/>
                <w:szCs w:val="18"/>
              </w:rPr>
              <w:t>00元/月（含“五险一金”个人缴纳部分）</w:t>
            </w: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  <w:lang w:eastAsia="zh-CN"/>
              </w:rPr>
              <w:t>1.男女不限，大专及以上学历，专业不限；2.具备扎实的写作基础，熟练应用基本办公软件；3.有两年以上工作经验，具备较好的人际沟通能力和较强的管理能力及工作协调能力；4.具备必要的专业知识、专业技能、良好的职业道德和较强的工作责任心；5.年龄在22周岁以上（1996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公司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 xml:space="preserve">     人力资源部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  <w:t>002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1.男女不限，全日制大专及以上学历，管理学、人力资源管理等相关专业；2.熟悉现代企业人力资源管理理论，熟悉薪酬管理；3. 有两年以上工作经验，具备人际交往能力、沟通协调能力、抗压能力，事业心强；4.年龄在22周岁以上（1996年12月31日及以前出生），35周岁以下（1983年12月31日及以后出生）。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</w:trPr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公司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投融资和资产管理部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投融资管理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003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男女不限，大专及以上学历，商贸管理类、经济类、财务管理、企业管理类等专业；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有两年以上工作经验, 具备较好的人际沟通能力；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具有较强的管理能力及工作协调能力；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具备必要的专业知识、专业技能、良好的职业道德和较强的工作责任心；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年龄在23周岁以上（1995年12月31日及以前出生），35周岁以下（1983年12月31日及以后出生）。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1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资产管理工作人员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004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1.限本县户籍，中专及以上学历，企业管理、档案管理类专业，有10年以上社会工作经历，具备较强的企业管理能力；2.能够完成领导安排的工作并配合其他部门完成工作；3.具备良好的身体素质，吃苦耐劳的精神；4.年龄在30周岁以上（1988年12月31日及以前出生），45周岁以下（1973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公司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 xml:space="preserve">     项目工程部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公司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 xml:space="preserve">     项目工程部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工作人员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005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仿宋_GB2312" w:hAnsi="仿宋_GB2312" w:eastAsia="仿宋_GB2312"/>
                <w:color w:val="000000"/>
                <w:sz w:val="18"/>
                <w:szCs w:val="18"/>
              </w:rPr>
              <w:t>00元/月（含“五险一金”个人缴纳部分</w:t>
            </w: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40" w:lineRule="exact"/>
              <w:jc w:val="both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1.男女不限，全日制大专及以上学历，工程造价相关专业；2.具备2年以上的工程施工和资料管理经验；3.具有良好的团队合作精神，责任心强；4.工作有条理，有较强协调能力；5.年龄在23周岁以上（1995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006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1.男女不限，全日制大专及以上学历，测绘工程、工民建、土建类、路桥类等相关专业；2.具备2年以上的工程施工和资料管理经验；3.具有良好的团队合作精神，责任心强；4.工作有条理，有较强协调能力；5.年龄在23周岁以上（1995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</w:trPr>
        <w:tc>
          <w:tcPr>
            <w:tcW w:w="1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007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1.男女不限，全日制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及以上学历，人文地理与城乡规划管理、城乡规划、档案学等相关专业；2.具备2年以上的工程施工和资料管理经验；3.具有良好的团队合作精神，责任心强；4.工作有条理，有较强协调能力；5.年龄在23周岁以上（1995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公司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监察审计部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008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1.男女不限，全日制本科及以上学历，法律类专业（且通过司法考试C证以上）；2.有两年以上工作经验，有较好的人际沟通能力；3.具有较强的管理能力及工作协调能力；4.具备必要的专业知识、专业技能和良好的职业道德；5.工作责任心强；6.年龄在23周岁以上（1995年12月31日及以前出生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控股子公司</w:t>
            </w: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行政专员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009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FFFFFF"/>
                <w:lang w:eastAsia="zh-CN"/>
              </w:rPr>
              <w:t>1.男女不限，大专及以上学历，专业不限；2.具备扎实的写作基础，熟练应用基本办公软件；3.有两年以上工作经验，具备较好的人际沟通能力和较强的管理能力及工作协调能力；4.具备必要的专业知识、专业技能、良好的职业道德和较强的工作责任心；5.年龄在22周岁以上（1996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控股子公司</w:t>
            </w: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  <w:t>财务专员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010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1.男女不限，全日制大专及以上学历，专业不限；2.有较好的人际沟通能力；3.具有较强的工作协调能力；4.有两年以上工作经验，具备必要的专业知识、专业技能和良好的职业道德；5.工作责任心强；6.年龄在23周岁以上（1995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全资子公司   行政专员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工作人员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011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  <w:t>1.男女不限，大专及以上学历，专业不限；2.具备扎实的写作基础，熟练应用基本办公软件；3.有两年以上工作以验，具备较好的人际沟通能力和较强的管理能力及工作协调能力；4.具备必要的专业知识、专业技能、良好的职业道德和较强的工作责任心；5.年龄在22周岁以上（1996年12月31日及以前出生），35周岁以下（1983年12月31日及以后出生）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合 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21"/>
                <w:szCs w:val="21"/>
                <w:shd w:val="clear" w:color="auto" w:fill="FFFFFF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35348"/>
    <w:rsid w:val="01A3534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2018-10-23T07:41:00Z</dcterms:created>
  <dc:creator>冯</dc:creator>
  <cp:lastModifiedBy>冯</cp:lastModifiedBy>
  <dcterms:modified xsi:type="dcterms:W3CDTF">2018-10-23T07:41:47Z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