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9" w:tblpY="335"/>
        <w:tblOverlap w:val="never"/>
        <w:tblW w:w="127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00"/>
        <w:gridCol w:w="975"/>
        <w:gridCol w:w="675"/>
        <w:gridCol w:w="885"/>
        <w:gridCol w:w="1290"/>
        <w:gridCol w:w="780"/>
        <w:gridCol w:w="1530"/>
        <w:gridCol w:w="1125"/>
        <w:gridCol w:w="1215"/>
        <w:gridCol w:w="2085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贵定县总工会2024年公开招聘工会社会工作者职位一览表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职位工作性质及需要说明的其他事项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贵定县总工会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负责基层工会相关工作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bidi="ar"/>
              </w:rPr>
              <w:t>普通高等教育大专及以上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限贵定县户籍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熟练使用办公软件，相当程度的了解当地社会环境、社情、民情。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贵定县总工会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负责基层工会相关工作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bidi="ar"/>
              </w:rPr>
              <w:t>普通高等教育大专及以上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限贵定县户籍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熟练使用办公软件，相当程度的了解当地社会环境、社情、民情。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6420"/>
    <w:rsid w:val="405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仿宋_GB2312" w:hAnsi="Times New Roman" w:eastAsia="仿宋_GB2312" w:cs="Times New Roman"/>
      <w:snapToGrid w:val="0"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2024-06-06T07:49:00Z</dcterms:created>
  <dc:creator>Administrator</dc:creator>
  <cp:lastModifiedBy>Administrator</cp:lastModifiedBy>
  <dcterms:modified xsi:type="dcterms:W3CDTF">2024-06-06T07:49:14Z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