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85" w:tblpY="1098"/>
        <w:tblOverlap w:val="never"/>
        <w:tblW w:w="10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85"/>
        <w:gridCol w:w="260"/>
        <w:gridCol w:w="927"/>
        <w:gridCol w:w="524"/>
        <w:gridCol w:w="695"/>
        <w:gridCol w:w="343"/>
        <w:gridCol w:w="608"/>
        <w:gridCol w:w="48"/>
        <w:gridCol w:w="59"/>
        <w:gridCol w:w="1012"/>
        <w:gridCol w:w="241"/>
        <w:gridCol w:w="720"/>
        <w:gridCol w:w="139"/>
        <w:gridCol w:w="329"/>
        <w:gridCol w:w="282"/>
        <w:gridCol w:w="458"/>
        <w:gridCol w:w="40"/>
        <w:gridCol w:w="1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贵州锦麟化工有限责任公司应聘人员报名表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8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8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资格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档案所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在单位</w:t>
            </w:r>
          </w:p>
        </w:tc>
        <w:tc>
          <w:tcPr>
            <w:tcW w:w="38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53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及部门</w:t>
            </w:r>
          </w:p>
        </w:tc>
        <w:tc>
          <w:tcPr>
            <w:tcW w:w="1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922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个人能力及主要业绩（根据个人实际情况填写职业资格、所获荣誉、有何特长、工作业绩、培训经历等）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firstLine="420" w:firstLineChars="200"/>
              <w:rPr>
                <w:rFonts w:hint="default" w:ascii="Calibri" w:hAnsi="Calibri" w:eastAsia="宋体" w:cs="Times New Roman"/>
                <w:color w:val="000000"/>
                <w:sz w:val="21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9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其他家庭成员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其他社会关系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月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color w:val="000000"/>
          <w:lang w:val="en-US" w:eastAsia="zh-CN"/>
        </w:rPr>
      </w:pPr>
    </w:p>
    <w:p>
      <w:pPr>
        <w:pStyle w:val="5"/>
        <w:rPr>
          <w:rFonts w:hint="default"/>
          <w:color w:val="00000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850" w:right="1134" w:bottom="850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368F5"/>
    <w:rsid w:val="16860D14"/>
    <w:rsid w:val="582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引文目录标题1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2024-01-26T00:56:00Z</dcterms:created>
  <dc:creator>谭舒尹</dc:creator>
  <cp:lastModifiedBy>谭舒尹</cp:lastModifiedBy>
  <dcterms:modified xsi:type="dcterms:W3CDTF">2024-04-03T07:43:32Z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