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bCs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报考人员诚信承诺书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我已仔细阅读《贵阳白云泉福医疗投资管理有限公司</w:t>
      </w: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2022年公开招聘公共医疗卫生服务专业技术人员简章》及《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贵阳白云泉福医疗投资管理有限公司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年公开招聘公共医疗卫生服务专业技术人员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岗位一览表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简章</w:t>
      </w:r>
      <w:r>
        <w:rPr>
          <w:rFonts w:hint="eastAsia" w:ascii="仿宋_GB2312" w:eastAsia="仿宋_GB2312"/>
          <w:sz w:val="32"/>
          <w:szCs w:val="32"/>
        </w:rPr>
        <w:t>中要求的全部资格条件。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</w:p>
    <w:p>
      <w:pPr>
        <w:pStyle w:val="3"/>
        <w:wordWrap w:val="0"/>
        <w:spacing w:line="560" w:lineRule="exact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RmOGJlOWU5N2M4YTE2Mjk4NWVkOTliNjA5OGNhMTgifQ=="/>
  </w:docVars>
  <w:rsids>
    <w:rsidRoot w:val="300D088E"/>
    <w:rsid w:val="000B5FCB"/>
    <w:rsid w:val="002D3AD4"/>
    <w:rsid w:val="003C6551"/>
    <w:rsid w:val="00AF25E7"/>
    <w:rsid w:val="00EB6464"/>
    <w:rsid w:val="126853CA"/>
    <w:rsid w:val="1B947D92"/>
    <w:rsid w:val="300D088E"/>
    <w:rsid w:val="66EE1C59"/>
    <w:rsid w:val="72BA28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列表接续 21"/>
    <w:basedOn w:val="1"/>
    <w:qFormat/>
    <w:uiPriority w:val="0"/>
    <w:pPr>
      <w:spacing w:after="120"/>
      <w:ind w:left="840" w:leftChars="400"/>
    </w:pPr>
  </w:style>
  <w:style w:type="character" w:customStyle="1" w:styleId="10">
    <w:name w:val="页眉 Char"/>
    <w:basedOn w:val="8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314</Words>
  <Characters>323</Characters>
  <Lines>2</Lines>
  <Paragraphs>1</Paragraphs>
  <TotalTime>5</TotalTime>
  <ScaleCrop>false</ScaleCrop>
  <LinksUpToDate>false</LinksUpToDate>
  <CharactersWithSpaces>375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2021-12-01T08:32:00Z</dcterms:created>
  <dc:creator>Lenovo</dc:creator>
  <cp:lastModifiedBy>莫启磊</cp:lastModifiedBy>
  <dcterms:modified xsi:type="dcterms:W3CDTF">2022-05-07T02:02:31Z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0E01791DF4504186B3F35D0AEE369316</vt:lpwstr>
  </property>
</Properties>
</file>